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54"/>
        <w:tblW w:w="8334" w:type="dxa"/>
        <w:tblLook w:val="04A0" w:firstRow="1" w:lastRow="0" w:firstColumn="1" w:lastColumn="0" w:noHBand="0" w:noVBand="1"/>
      </w:tblPr>
      <w:tblGrid>
        <w:gridCol w:w="1710"/>
        <w:gridCol w:w="3055"/>
        <w:gridCol w:w="3569"/>
      </w:tblGrid>
      <w:tr w:rsidR="00635351" w:rsidRPr="002325B4" w14:paraId="2EAB23A0" w14:textId="77777777" w:rsidTr="00625E96">
        <w:trPr>
          <w:trHeight w:val="260"/>
        </w:trPr>
        <w:tc>
          <w:tcPr>
            <w:tcW w:w="1710" w:type="dxa"/>
            <w:shd w:val="clear" w:color="auto" w:fill="auto"/>
          </w:tcPr>
          <w:p w14:paraId="16E15AD8" w14:textId="77777777" w:rsidR="00635351" w:rsidRPr="004B0644" w:rsidRDefault="00635351" w:rsidP="00635351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Intended Users:</w:t>
            </w:r>
          </w:p>
        </w:tc>
        <w:tc>
          <w:tcPr>
            <w:tcW w:w="3055" w:type="dxa"/>
            <w:shd w:val="clear" w:color="auto" w:fill="D9D9D9"/>
            <w:vAlign w:val="bottom"/>
          </w:tcPr>
          <w:p w14:paraId="5E66D075" w14:textId="77777777" w:rsidR="00635351" w:rsidRPr="004B0644" w:rsidRDefault="00635351" w:rsidP="00635351">
            <w:pPr>
              <w:rPr>
                <w:rFonts w:cstheme="minorHAnsi"/>
                <w:b/>
                <w:bCs/>
                <w:sz w:val="20"/>
              </w:rPr>
            </w:pPr>
            <w:r w:rsidRPr="004B0644">
              <w:rPr>
                <w:rFonts w:cstheme="minorHAnsi"/>
                <w:b/>
                <w:bCs/>
                <w:sz w:val="20"/>
              </w:rPr>
              <w:t xml:space="preserve">Information Professionals </w:t>
            </w:r>
          </w:p>
        </w:tc>
        <w:tc>
          <w:tcPr>
            <w:tcW w:w="3569" w:type="dxa"/>
            <w:shd w:val="clear" w:color="auto" w:fill="D6E6F6"/>
            <w:vAlign w:val="bottom"/>
          </w:tcPr>
          <w:p w14:paraId="2957F6FD" w14:textId="77777777" w:rsidR="00635351" w:rsidRPr="004B0644" w:rsidRDefault="00635351" w:rsidP="00635351">
            <w:pPr>
              <w:rPr>
                <w:rFonts w:cstheme="minorHAnsi"/>
                <w:b/>
                <w:bCs/>
                <w:sz w:val="20"/>
              </w:rPr>
            </w:pPr>
            <w:r w:rsidRPr="004B0644">
              <w:rPr>
                <w:rFonts w:cstheme="minorHAnsi"/>
                <w:b/>
                <w:bCs/>
                <w:sz w:val="20"/>
              </w:rPr>
              <w:t>Researchers</w:t>
            </w:r>
          </w:p>
        </w:tc>
      </w:tr>
    </w:tbl>
    <w:p w14:paraId="76827130" w14:textId="77777777" w:rsidR="00635351" w:rsidRDefault="00635351" w:rsidP="00635351">
      <w:pPr>
        <w:pStyle w:val="NoSpacing"/>
      </w:pPr>
    </w:p>
    <w:p w14:paraId="053D23E5" w14:textId="77777777" w:rsidR="00635351" w:rsidRDefault="00635351" w:rsidP="00635351">
      <w:pPr>
        <w:pStyle w:val="Heading1"/>
      </w:pPr>
      <w:r w:rsidRPr="006601E7">
        <w:rPr>
          <w:noProof/>
        </w:rPr>
        <w:drawing>
          <wp:anchor distT="0" distB="0" distL="114300" distR="114300" simplePos="0" relativeHeight="251658240" behindDoc="1" locked="0" layoutInCell="1" allowOverlap="1" wp14:anchorId="5FD05425" wp14:editId="6523E788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2647950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445" y="21162"/>
                <wp:lineTo x="21445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20509" r="1122" b="42461"/>
                    <a:stretch/>
                  </pic:blipFill>
                  <pic:spPr bwMode="auto">
                    <a:xfrm>
                      <a:off x="0" y="0"/>
                      <a:ext cx="2647950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Pr="00677EDB">
          <w:rPr>
            <w:rStyle w:val="Hyperlink"/>
          </w:rPr>
          <w:t>NIH Comparative Genomics Resource</w:t>
        </w:r>
      </w:hyperlink>
    </w:p>
    <w:p w14:paraId="1596B992" w14:textId="28013FA2" w:rsidR="00635351" w:rsidRDefault="3DEE621B" w:rsidP="00635351">
      <w:r w:rsidRPr="7778D945">
        <w:rPr>
          <w:b/>
          <w:bCs/>
        </w:rPr>
        <w:t>Description:</w:t>
      </w:r>
      <w:r>
        <w:t xml:space="preserve"> The NIH Comparative Genomics Resource (CGR) is a multiyear project intended to maximize the impact of research on eukaryotic (</w:t>
      </w:r>
      <w:r w:rsidR="49DA88C7">
        <w:t>non-bacterial, non-viral organisms such as animals, plants, and fungi</w:t>
      </w:r>
      <w:r>
        <w:t xml:space="preserve">) lifeforms and their genomic data. </w:t>
      </w:r>
      <w:r w:rsidRPr="7778D945">
        <w:rPr>
          <w:rStyle w:val="ui-provider"/>
        </w:rPr>
        <w:t>CGR facilitates reliable comparative genomics analyses, including the study of structure, function, evolution, and mapping of eukaryotic genomes</w:t>
      </w:r>
      <w:r>
        <w:t xml:space="preserve">. Researchers can compare characteristics of </w:t>
      </w:r>
      <w:r w:rsidR="275BE876">
        <w:t>sequenced genomes</w:t>
      </w:r>
      <w:r>
        <w:t xml:space="preserve"> across different species. Comparative genomics provides insight into evolution and how species change over time, how genes control biological functions, and how gene variants in a single species may contribute to disease. CGR </w:t>
      </w:r>
      <w:r w:rsidR="1E9EE199">
        <w:t>facilitates this through community collaboration and an NCBI Toolkit of interconnected and interoperable data and tools.</w:t>
      </w:r>
      <w:r>
        <w:t xml:space="preserve"> </w:t>
      </w:r>
      <w:r w:rsidR="5CAB98D0">
        <w:t>Its development</w:t>
      </w:r>
      <w:r>
        <w:t xml:space="preserve"> is led by the National Center for Biotechnology Information.</w:t>
      </w:r>
    </w:p>
    <w:p w14:paraId="5259E46A" w14:textId="77777777" w:rsidR="00635351" w:rsidRDefault="00635351" w:rsidP="00635351">
      <w:pPr>
        <w:pStyle w:val="Heading2"/>
      </w:pPr>
      <w:r>
        <w:t>Popular uses of this product: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785"/>
        <w:gridCol w:w="5007"/>
      </w:tblGrid>
      <w:tr w:rsidR="00635351" w:rsidRPr="00034B19" w14:paraId="7F2DC3F8" w14:textId="77777777" w:rsidTr="00625E96">
        <w:trPr>
          <w:trHeight w:val="350"/>
        </w:trPr>
        <w:tc>
          <w:tcPr>
            <w:tcW w:w="4785" w:type="dxa"/>
            <w:shd w:val="clear" w:color="auto" w:fill="D9D9D9"/>
          </w:tcPr>
          <w:p w14:paraId="5D9C9032" w14:textId="77777777" w:rsidR="00635351" w:rsidRPr="002325B4" w:rsidRDefault="00635351" w:rsidP="00924726">
            <w:pPr>
              <w:rPr>
                <w:rFonts w:cstheme="minorHAnsi"/>
                <w:b/>
                <w:bCs/>
              </w:rPr>
            </w:pPr>
            <w:r w:rsidRPr="002325B4">
              <w:rPr>
                <w:rFonts w:cstheme="minorHAnsi"/>
                <w:b/>
                <w:bCs/>
              </w:rPr>
              <w:t xml:space="preserve">Information Professionals </w:t>
            </w:r>
          </w:p>
        </w:tc>
        <w:tc>
          <w:tcPr>
            <w:tcW w:w="5007" w:type="dxa"/>
            <w:shd w:val="clear" w:color="auto" w:fill="D6E6F6"/>
          </w:tcPr>
          <w:p w14:paraId="5A54B843" w14:textId="77777777" w:rsidR="00635351" w:rsidRPr="002325B4" w:rsidRDefault="3DEE621B" w:rsidP="4E74FB99">
            <w:pPr>
              <w:rPr>
                <w:b/>
                <w:bCs/>
              </w:rPr>
            </w:pPr>
            <w:r w:rsidRPr="7778D945">
              <w:rPr>
                <w:b/>
                <w:bCs/>
              </w:rPr>
              <w:t>Researchers</w:t>
            </w:r>
          </w:p>
        </w:tc>
      </w:tr>
      <w:tr w:rsidR="00635351" w:rsidRPr="00034B19" w14:paraId="180231F3" w14:textId="77777777" w:rsidTr="00625E96">
        <w:trPr>
          <w:trHeight w:val="1278"/>
        </w:trPr>
        <w:tc>
          <w:tcPr>
            <w:tcW w:w="4785" w:type="dxa"/>
          </w:tcPr>
          <w:p w14:paraId="19C3F4F0" w14:textId="77777777" w:rsidR="00635351" w:rsidRPr="00034B19" w:rsidRDefault="00635351" w:rsidP="00924726">
            <w:pPr>
              <w:pStyle w:val="ListParagraph"/>
              <w:numPr>
                <w:ilvl w:val="0"/>
                <w:numId w:val="2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Include CGR in subject guides for biology, chemistry, and genetic resources.</w:t>
            </w:r>
          </w:p>
          <w:p w14:paraId="0D9847C6" w14:textId="77777777" w:rsidR="00635351" w:rsidRDefault="00635351" w:rsidP="00924726">
            <w:pPr>
              <w:pStyle w:val="ListParagraph"/>
              <w:numPr>
                <w:ilvl w:val="0"/>
                <w:numId w:val="2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 xml:space="preserve">Curate FAIR, detailed metadata for genomic research data.  </w:t>
            </w:r>
          </w:p>
          <w:p w14:paraId="26062D54" w14:textId="6F33F972" w:rsidR="00635351" w:rsidRDefault="3DEE621B" w:rsidP="4E74FB99">
            <w:pPr>
              <w:pStyle w:val="ListParagraph"/>
              <w:numPr>
                <w:ilvl w:val="0"/>
                <w:numId w:val="2"/>
              </w:numPr>
              <w:ind w:left="196" w:hanging="196"/>
            </w:pPr>
            <w:r w:rsidRPr="7778D945">
              <w:t>Give feedback on the usability and usefulness of CGR (yellow feedback button).</w:t>
            </w:r>
          </w:p>
          <w:p w14:paraId="5605C469" w14:textId="3337E51E" w:rsidR="00635351" w:rsidRPr="00034B19" w:rsidRDefault="3DEE621B" w:rsidP="4E74FB99">
            <w:pPr>
              <w:pStyle w:val="ListParagraph"/>
              <w:numPr>
                <w:ilvl w:val="0"/>
                <w:numId w:val="2"/>
              </w:numPr>
              <w:ind w:left="196" w:hanging="196"/>
            </w:pPr>
            <w:r w:rsidRPr="7778D945">
              <w:t xml:space="preserve">Promote CGR </w:t>
            </w:r>
            <w:r w:rsidR="5ED697C1" w:rsidRPr="7778D945">
              <w:t xml:space="preserve">as a multi-faceted resource </w:t>
            </w:r>
            <w:r w:rsidR="00324ADC">
              <w:t xml:space="preserve">for </w:t>
            </w:r>
            <w:r w:rsidR="5ED697C1" w:rsidRPr="7778D945">
              <w:t>facilitating diverse</w:t>
            </w:r>
            <w:r w:rsidR="6098520F" w:rsidRPr="7778D945">
              <w:t xml:space="preserve"> types of</w:t>
            </w:r>
            <w:r w:rsidR="5ED697C1" w:rsidRPr="7778D945">
              <w:t xml:space="preserve"> comparative genomics research</w:t>
            </w:r>
            <w:r w:rsidRPr="7778D945">
              <w:t xml:space="preserve">. </w:t>
            </w:r>
          </w:p>
        </w:tc>
        <w:tc>
          <w:tcPr>
            <w:tcW w:w="5007" w:type="dxa"/>
          </w:tcPr>
          <w:p w14:paraId="364CC244" w14:textId="723AC23A" w:rsidR="00635351" w:rsidRDefault="166C3A2E" w:rsidP="4E74FB99">
            <w:pPr>
              <w:pStyle w:val="ListParagraph"/>
              <w:numPr>
                <w:ilvl w:val="0"/>
                <w:numId w:val="2"/>
              </w:numPr>
              <w:ind w:left="196" w:hanging="196"/>
            </w:pPr>
            <w:r w:rsidRPr="4E74FB99">
              <w:t>D</w:t>
            </w:r>
            <w:r w:rsidR="3DEE621B" w:rsidRPr="4E74FB99">
              <w:t xml:space="preserve">ownload comprehensive genomic data including gene, transcript, protein sequences, and metadata. </w:t>
            </w:r>
          </w:p>
          <w:p w14:paraId="39C5878A" w14:textId="5CDBA030" w:rsidR="00635351" w:rsidRDefault="4D52E668" w:rsidP="4E74FB99">
            <w:pPr>
              <w:pStyle w:val="ListParagraph"/>
              <w:numPr>
                <w:ilvl w:val="0"/>
                <w:numId w:val="2"/>
              </w:numPr>
              <w:ind w:left="196" w:hanging="196"/>
            </w:pPr>
            <w:r>
              <w:t>V</w:t>
            </w:r>
            <w:r w:rsidR="3DEE621B">
              <w:t>isualize and compare eukaryotic genomes assemblies and annotations.</w:t>
            </w:r>
          </w:p>
          <w:p w14:paraId="499FE242" w14:textId="18561545" w:rsidR="6C5DD7CD" w:rsidRDefault="6C5DD7CD" w:rsidP="7EDE6601">
            <w:pPr>
              <w:pStyle w:val="ListParagraph"/>
              <w:numPr>
                <w:ilvl w:val="0"/>
                <w:numId w:val="2"/>
              </w:numPr>
              <w:ind w:left="196" w:hanging="196"/>
            </w:pPr>
            <w:r>
              <w:t>Use tools to impro</w:t>
            </w:r>
            <w:r w:rsidR="2CA55901">
              <w:t>ve the quality of your genome assemblies prior to GenBank submi</w:t>
            </w:r>
            <w:r w:rsidR="44361A67">
              <w:t>ssion</w:t>
            </w:r>
            <w:r w:rsidR="004725E2">
              <w:t>.</w:t>
            </w:r>
          </w:p>
          <w:p w14:paraId="5A79C8A3" w14:textId="6D04B614" w:rsidR="00635351" w:rsidRDefault="54831342" w:rsidP="4E74FB99">
            <w:pPr>
              <w:pStyle w:val="ListParagraph"/>
              <w:numPr>
                <w:ilvl w:val="0"/>
                <w:numId w:val="2"/>
              </w:numPr>
              <w:ind w:left="196" w:hanging="196"/>
            </w:pPr>
            <w:r>
              <w:t>Request</w:t>
            </w:r>
            <w:r w:rsidR="3DEE621B">
              <w:t xml:space="preserve"> </w:t>
            </w:r>
            <w:r w:rsidR="3546E3DE">
              <w:t xml:space="preserve">NCBI evaluation of your human, mouse, or rat </w:t>
            </w:r>
            <w:r w:rsidR="22C9BAD2">
              <w:t>genome assemblie</w:t>
            </w:r>
            <w:r w:rsidR="4FD5A52D">
              <w:t>s</w:t>
            </w:r>
            <w:r w:rsidR="3DEE621B">
              <w:t xml:space="preserve"> for accuracy, </w:t>
            </w:r>
            <w:r w:rsidR="2E9D76E2">
              <w:t>completeness,</w:t>
            </w:r>
            <w:r w:rsidR="3DEE621B">
              <w:t xml:space="preserve"> and correctness. </w:t>
            </w:r>
          </w:p>
          <w:p w14:paraId="0D12F26E" w14:textId="77777777" w:rsidR="00635351" w:rsidRDefault="3DEE621B" w:rsidP="00924726">
            <w:pPr>
              <w:pStyle w:val="ListParagraph"/>
              <w:numPr>
                <w:ilvl w:val="0"/>
                <w:numId w:val="2"/>
              </w:numPr>
              <w:ind w:left="196" w:hanging="196"/>
              <w:rPr>
                <w:rFonts w:cstheme="minorHAnsi"/>
              </w:rPr>
            </w:pPr>
            <w:r>
              <w:t xml:space="preserve">Share curated data with NCBI to expand and enhance genomic related content. </w:t>
            </w:r>
          </w:p>
          <w:p w14:paraId="2AEB17F1" w14:textId="6A9FFE65" w:rsidR="00635351" w:rsidRPr="00A05BE0" w:rsidRDefault="3DEE621B" w:rsidP="4E74FB99">
            <w:pPr>
              <w:pStyle w:val="ListParagraph"/>
              <w:numPr>
                <w:ilvl w:val="0"/>
                <w:numId w:val="2"/>
              </w:numPr>
              <w:ind w:left="196" w:hanging="196"/>
            </w:pPr>
            <w:r>
              <w:t>Give feedback on the usability and usefulness of CGR (yellow feedback button).</w:t>
            </w:r>
          </w:p>
        </w:tc>
      </w:tr>
    </w:tbl>
    <w:p w14:paraId="2742F000" w14:textId="77777777" w:rsidR="00635351" w:rsidRDefault="00635351" w:rsidP="00635351">
      <w:pPr>
        <w:pStyle w:val="Heading2"/>
      </w:pPr>
    </w:p>
    <w:p w14:paraId="4DFDF6BB" w14:textId="77777777" w:rsidR="00635351" w:rsidRDefault="00635351" w:rsidP="00635351">
      <w:pPr>
        <w:pStyle w:val="Heading2"/>
      </w:pPr>
      <w:r>
        <w:t>Key Points:</w:t>
      </w:r>
    </w:p>
    <w:p w14:paraId="2C119B0C" w14:textId="07AFC80D" w:rsidR="00B52AA4" w:rsidRDefault="00B52AA4" w:rsidP="00635351">
      <w:pPr>
        <w:pStyle w:val="NoSpacing"/>
        <w:numPr>
          <w:ilvl w:val="0"/>
          <w:numId w:val="3"/>
        </w:numPr>
      </w:pPr>
      <w:r>
        <w:t>Connect researcher</w:t>
      </w:r>
      <w:r w:rsidR="00126766">
        <w:t>s</w:t>
      </w:r>
      <w:r>
        <w:t xml:space="preserve"> to data sources, tools for analysis and visualization, and tools for improving the quality of genome assemblies and associated data to enhance comparative genomics research. </w:t>
      </w:r>
    </w:p>
    <w:p w14:paraId="51D38790" w14:textId="1EE183AC" w:rsidR="00635351" w:rsidRPr="0002211E" w:rsidRDefault="3DEE621B" w:rsidP="00635351">
      <w:pPr>
        <w:pStyle w:val="NoSpacing"/>
        <w:numPr>
          <w:ilvl w:val="0"/>
          <w:numId w:val="3"/>
        </w:numPr>
      </w:pPr>
      <w:r>
        <w:t xml:space="preserve">Contribute to improvement of </w:t>
      </w:r>
      <w:r w:rsidR="452A4998">
        <w:t>the NCBI Toolkit</w:t>
      </w:r>
      <w:r>
        <w:t xml:space="preserve"> by offering feedback</w:t>
      </w:r>
      <w:r w:rsidR="6DD4606C">
        <w:t xml:space="preserve"> and exploring opportunities to </w:t>
      </w:r>
      <w:r w:rsidR="02650691">
        <w:t>connect community</w:t>
      </w:r>
      <w:r w:rsidR="00B52AA4">
        <w:t xml:space="preserve"> </w:t>
      </w:r>
      <w:r w:rsidR="6DD4606C">
        <w:t>curated genome-related content</w:t>
      </w:r>
      <w:r>
        <w:t>.</w:t>
      </w:r>
    </w:p>
    <w:p w14:paraId="3B048118" w14:textId="20091C5F" w:rsidR="00635351" w:rsidRDefault="009A2114" w:rsidP="00635351">
      <w:pPr>
        <w:pStyle w:val="Heading2"/>
      </w:pPr>
      <w:r>
        <w:t>Considerations</w:t>
      </w:r>
      <w:r w:rsidR="00635351">
        <w:t>:</w:t>
      </w:r>
    </w:p>
    <w:p w14:paraId="36D95122" w14:textId="3B2372D4" w:rsidR="00635351" w:rsidRDefault="3DEE621B" w:rsidP="00635351">
      <w:pPr>
        <w:pStyle w:val="NoSpacing"/>
        <w:numPr>
          <w:ilvl w:val="0"/>
          <w:numId w:val="4"/>
        </w:numPr>
      </w:pPr>
      <w:r>
        <w:t xml:space="preserve">Encourage researchers to get involved </w:t>
      </w:r>
      <w:r w:rsidR="00B37B77">
        <w:t xml:space="preserve">with CGR </w:t>
      </w:r>
      <w:r>
        <w:t xml:space="preserve">and offer feedback about what support they need for comparative genomics analyses.  </w:t>
      </w:r>
    </w:p>
    <w:p w14:paraId="4A0A4FE8" w14:textId="77777777" w:rsidR="00635351" w:rsidRDefault="00635351" w:rsidP="00635351">
      <w:pPr>
        <w:pStyle w:val="Heading2"/>
      </w:pPr>
      <w:r>
        <w:t>Teaching Example:</w:t>
      </w:r>
    </w:p>
    <w:p w14:paraId="08A846DC" w14:textId="77777777" w:rsidR="00635351" w:rsidRDefault="00635351" w:rsidP="00635351">
      <w:pPr>
        <w:pStyle w:val="NoSpacing"/>
        <w:numPr>
          <w:ilvl w:val="0"/>
          <w:numId w:val="5"/>
        </w:numPr>
      </w:pPr>
      <w:r>
        <w:t xml:space="preserve">Have learners briefly describe their current research project and identify at least one tool that would help them at their current research stage. </w:t>
      </w:r>
    </w:p>
    <w:p w14:paraId="03AC2BE4" w14:textId="4D6C9331" w:rsidR="00635351" w:rsidRDefault="00635351" w:rsidP="7778D945">
      <w:pPr>
        <w:pStyle w:val="NoSpacing"/>
        <w:numPr>
          <w:ilvl w:val="0"/>
          <w:numId w:val="5"/>
        </w:numPr>
      </w:pPr>
      <w:r>
        <w:t>Have learners explore the website and name two to three ways to get involved with CGR (yellow feedback button</w:t>
      </w:r>
      <w:r w:rsidR="003D00D4">
        <w:t xml:space="preserve"> on CGR website or direct</w:t>
      </w:r>
      <w:r w:rsidR="00AB18AC">
        <w:t xml:space="preserve"> feedback on a resource in the NCBI Toolkit</w:t>
      </w:r>
      <w:r>
        <w:t xml:space="preserve">, email </w:t>
      </w:r>
      <w:hyperlink r:id="rId12">
        <w:r w:rsidRPr="7778D945">
          <w:rPr>
            <w:rStyle w:val="Hyperlink"/>
          </w:rPr>
          <w:t>cgr@nlm.nih.gov</w:t>
        </w:r>
      </w:hyperlink>
      <w:r>
        <w:t xml:space="preserve">, sign up for </w:t>
      </w:r>
      <w:hyperlink r:id="rId13">
        <w:r w:rsidRPr="7778D945">
          <w:rPr>
            <w:rStyle w:val="Hyperlink"/>
          </w:rPr>
          <w:t>mailing list</w:t>
        </w:r>
      </w:hyperlink>
      <w:r w:rsidR="003D00D4">
        <w:t>)</w:t>
      </w:r>
      <w:r w:rsidR="009F7720">
        <w:t>.</w:t>
      </w:r>
      <w:bookmarkStart w:id="0" w:name="_GoBack"/>
      <w:bookmarkEnd w:id="0"/>
      <w:commentRangeStart w:id="1"/>
    </w:p>
    <w:p w14:paraId="03527632" w14:textId="2825061D" w:rsidR="00635351" w:rsidRDefault="00635351" w:rsidP="7778D945">
      <w:pPr>
        <w:pStyle w:val="NoSpacing"/>
        <w:rPr>
          <w:b/>
          <w:bCs/>
        </w:rPr>
      </w:pPr>
      <w:r w:rsidRPr="7778D945">
        <w:rPr>
          <w:b/>
          <w:bCs/>
        </w:rPr>
        <w:t>Real-life Examples:</w:t>
      </w:r>
    </w:p>
    <w:p w14:paraId="0D8D1D6E" w14:textId="65721735" w:rsidR="00635351" w:rsidRDefault="00635351" w:rsidP="00635351">
      <w:pPr>
        <w:pStyle w:val="NoSpacing"/>
        <w:numPr>
          <w:ilvl w:val="0"/>
          <w:numId w:val="6"/>
        </w:numPr>
      </w:pPr>
      <w:r>
        <w:t xml:space="preserve">A genomics researcher is studying rat genomes.  They use CGR to find data quality improvement tools and uses them to remove contaminants before </w:t>
      </w:r>
      <w:r w:rsidR="00F16E89">
        <w:t xml:space="preserve">submitting </w:t>
      </w:r>
      <w:r>
        <w:t xml:space="preserve">the data </w:t>
      </w:r>
      <w:r w:rsidR="00F16E89">
        <w:t xml:space="preserve">to </w:t>
      </w:r>
      <w:r>
        <w:t xml:space="preserve">NCBI.  </w:t>
      </w:r>
    </w:p>
    <w:p w14:paraId="79AEC074" w14:textId="6F8E764D" w:rsidR="00635351" w:rsidRDefault="3DEE621B" w:rsidP="00635351">
      <w:pPr>
        <w:pStyle w:val="NoSpacing"/>
        <w:numPr>
          <w:ilvl w:val="0"/>
          <w:numId w:val="6"/>
        </w:numPr>
      </w:pPr>
      <w:r>
        <w:lastRenderedPageBreak/>
        <w:t xml:space="preserve">A researcher asks a librarian about ways to </w:t>
      </w:r>
      <w:r w:rsidR="1902ADFF">
        <w:t>submit their newly assembled genome to GenBank</w:t>
      </w:r>
      <w:r>
        <w:t xml:space="preserve">. The librarian suggests CGR as a resource to enhance data quality and </w:t>
      </w:r>
      <w:r w:rsidR="26925FE2">
        <w:t>illustrate the ways the researcher</w:t>
      </w:r>
      <w:r w:rsidR="652EF50B">
        <w:t>’</w:t>
      </w:r>
      <w:r w:rsidR="3A675666">
        <w:t>s</w:t>
      </w:r>
      <w:r w:rsidR="26925FE2">
        <w:t xml:space="preserve"> genome may be accessed for re-use</w:t>
      </w:r>
      <w:r w:rsidR="378FAB5F">
        <w:t xml:space="preserve"> after submission</w:t>
      </w:r>
      <w:r>
        <w:t xml:space="preserve">. </w:t>
      </w:r>
    </w:p>
    <w:p w14:paraId="401A1B86" w14:textId="77777777" w:rsidR="00635351" w:rsidRDefault="00635351" w:rsidP="00635351">
      <w:pPr>
        <w:pStyle w:val="NoSpacing"/>
        <w:ind w:left="720"/>
      </w:pPr>
    </w:p>
    <w:p w14:paraId="449EC769" w14:textId="77777777" w:rsidR="00635351" w:rsidRDefault="00635351" w:rsidP="00635351">
      <w:pPr>
        <w:pStyle w:val="Heading2"/>
      </w:pPr>
      <w:r>
        <w:t>CGR tools: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150"/>
        <w:gridCol w:w="3690"/>
        <w:gridCol w:w="3096"/>
      </w:tblGrid>
      <w:tr w:rsidR="00635351" w14:paraId="5A3C97FC" w14:textId="77777777" w:rsidTr="00625E96">
        <w:tc>
          <w:tcPr>
            <w:tcW w:w="3150" w:type="dxa"/>
            <w:shd w:val="clear" w:color="auto" w:fill="D6E6F6"/>
          </w:tcPr>
          <w:p w14:paraId="1A54D7EB" w14:textId="78CFE14C" w:rsidR="00635351" w:rsidRPr="005A701C" w:rsidRDefault="00014CA8" w:rsidP="7778D945">
            <w:pPr>
              <w:spacing w:line="259" w:lineRule="auto"/>
              <w:rPr>
                <w:b/>
                <w:bCs/>
              </w:rPr>
            </w:pPr>
            <w:hyperlink r:id="rId14">
              <w:r w:rsidR="02574B54" w:rsidRPr="7778D945">
                <w:rPr>
                  <w:rStyle w:val="Hyperlink"/>
                  <w:b/>
                  <w:bCs/>
                </w:rPr>
                <w:t>Data resources</w:t>
              </w:r>
            </w:hyperlink>
          </w:p>
        </w:tc>
        <w:tc>
          <w:tcPr>
            <w:tcW w:w="3690" w:type="dxa"/>
            <w:shd w:val="clear" w:color="auto" w:fill="D6E6F6"/>
          </w:tcPr>
          <w:p w14:paraId="43EC24DE" w14:textId="77777777" w:rsidR="00635351" w:rsidRPr="005A701C" w:rsidRDefault="00014CA8" w:rsidP="00924726">
            <w:pPr>
              <w:rPr>
                <w:b/>
              </w:rPr>
            </w:pPr>
            <w:hyperlink r:id="rId15" w:history="1">
              <w:r w:rsidR="00635351" w:rsidRPr="00635351">
                <w:rPr>
                  <w:rStyle w:val="Hyperlink"/>
                  <w:b/>
                </w:rPr>
                <w:t>Tools to analyze, visualize, and compare genomic sequences.</w:t>
              </w:r>
            </w:hyperlink>
          </w:p>
        </w:tc>
        <w:tc>
          <w:tcPr>
            <w:tcW w:w="3096" w:type="dxa"/>
            <w:shd w:val="clear" w:color="auto" w:fill="D6E6F6"/>
          </w:tcPr>
          <w:p w14:paraId="554F31F6" w14:textId="77777777" w:rsidR="00635351" w:rsidRPr="005A701C" w:rsidRDefault="00014CA8" w:rsidP="00924726">
            <w:pPr>
              <w:rPr>
                <w:b/>
              </w:rPr>
            </w:pPr>
            <w:hyperlink r:id="rId16" w:history="1">
              <w:r w:rsidR="00635351" w:rsidRPr="00635351">
                <w:rPr>
                  <w:rStyle w:val="Hyperlink"/>
                  <w:b/>
                </w:rPr>
                <w:t>Improve data quality and prepare for submission</w:t>
              </w:r>
            </w:hyperlink>
            <w:r w:rsidR="00635351" w:rsidRPr="005A701C">
              <w:rPr>
                <w:b/>
              </w:rPr>
              <w:t xml:space="preserve"> </w:t>
            </w:r>
          </w:p>
        </w:tc>
      </w:tr>
      <w:tr w:rsidR="00635351" w14:paraId="09D6C56E" w14:textId="77777777" w:rsidTr="00625E96">
        <w:tc>
          <w:tcPr>
            <w:tcW w:w="3150" w:type="dxa"/>
          </w:tcPr>
          <w:p w14:paraId="619F94C8" w14:textId="07454BCA" w:rsidR="00635351" w:rsidRPr="005A701C" w:rsidRDefault="42A136E7" w:rsidP="4E74FB99">
            <w:pPr>
              <w:rPr>
                <w:b/>
                <w:bCs/>
              </w:rPr>
            </w:pPr>
            <w:r w:rsidRPr="7778D945">
              <w:rPr>
                <w:b/>
                <w:bCs/>
              </w:rPr>
              <w:t xml:space="preserve">Download </w:t>
            </w:r>
            <w:r w:rsidR="0368A65B" w:rsidRPr="7778D945">
              <w:rPr>
                <w:b/>
                <w:bCs/>
              </w:rPr>
              <w:t>Genome and Gene Data Packages</w:t>
            </w:r>
          </w:p>
          <w:p w14:paraId="421BAE9F" w14:textId="3BA85272" w:rsidR="00635351" w:rsidRDefault="3DEE621B" w:rsidP="00924726">
            <w:pPr>
              <w:pStyle w:val="ListParagraph"/>
              <w:numPr>
                <w:ilvl w:val="0"/>
                <w:numId w:val="7"/>
              </w:numPr>
            </w:pPr>
            <w:r>
              <w:t>NCBI Datasets</w:t>
            </w:r>
            <w:r w:rsidR="404A623E">
              <w:t>: web and command-line tools</w:t>
            </w:r>
          </w:p>
          <w:p w14:paraId="1C3847B9" w14:textId="6BFC23B9" w:rsidR="142BBD8E" w:rsidRPr="00126766" w:rsidRDefault="4CA58681" w:rsidP="7EDE6601">
            <w:pPr>
              <w:rPr>
                <w:b/>
                <w:bCs/>
              </w:rPr>
            </w:pPr>
            <w:r w:rsidRPr="7EDE6601">
              <w:rPr>
                <w:b/>
                <w:bCs/>
              </w:rPr>
              <w:t>Explore Taxon</w:t>
            </w:r>
            <w:r w:rsidR="3ACADD78" w:rsidRPr="7EDE6601">
              <w:rPr>
                <w:b/>
                <w:bCs/>
              </w:rPr>
              <w:t xml:space="preserve">omy, </w:t>
            </w:r>
            <w:r w:rsidRPr="7EDE6601">
              <w:rPr>
                <w:b/>
                <w:bCs/>
              </w:rPr>
              <w:t>Genes, Genomes and Proteins</w:t>
            </w:r>
          </w:p>
          <w:p w14:paraId="52F4455F" w14:textId="07B7AA20" w:rsidR="00635351" w:rsidRDefault="3DEE621B" w:rsidP="7EDE6601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Gene</w:t>
            </w:r>
          </w:p>
          <w:p w14:paraId="7BC4B8DE" w14:textId="727DDFC7" w:rsidR="21C1FE40" w:rsidRDefault="549BBBFD" w:rsidP="4E74FB99">
            <w:pPr>
              <w:pStyle w:val="ListParagraph"/>
              <w:numPr>
                <w:ilvl w:val="0"/>
                <w:numId w:val="7"/>
              </w:numPr>
            </w:pPr>
            <w:r>
              <w:t>NCBI Orthologs</w:t>
            </w:r>
          </w:p>
          <w:p w14:paraId="6D5DB473" w14:textId="65FFA243" w:rsidR="00635351" w:rsidRDefault="62D63F08" w:rsidP="7778D94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b/>
                <w:bCs/>
              </w:rPr>
            </w:pPr>
            <w:r>
              <w:t xml:space="preserve">NCBI </w:t>
            </w:r>
            <w:r w:rsidR="0C59DACF">
              <w:t>Taxonomy</w:t>
            </w:r>
          </w:p>
          <w:p w14:paraId="3EE09C63" w14:textId="34D32795" w:rsidR="00635351" w:rsidRPr="005A701C" w:rsidRDefault="3DEE621B" w:rsidP="4E74FB99">
            <w:pPr>
              <w:rPr>
                <w:b/>
                <w:bCs/>
              </w:rPr>
            </w:pPr>
            <w:r w:rsidRPr="7778D945">
              <w:rPr>
                <w:b/>
                <w:bCs/>
              </w:rPr>
              <w:t>Protein</w:t>
            </w:r>
            <w:r w:rsidR="702F0242" w:rsidRPr="7778D945">
              <w:rPr>
                <w:b/>
                <w:bCs/>
              </w:rPr>
              <w:t>s</w:t>
            </w:r>
          </w:p>
          <w:p w14:paraId="49DC45C6" w14:textId="77777777" w:rsidR="00635351" w:rsidRDefault="00635351" w:rsidP="00924726">
            <w:pPr>
              <w:pStyle w:val="ListParagraph"/>
              <w:numPr>
                <w:ilvl w:val="0"/>
                <w:numId w:val="7"/>
              </w:numPr>
            </w:pPr>
            <w:r>
              <w:t xml:space="preserve">Protein Family Models </w:t>
            </w:r>
          </w:p>
          <w:p w14:paraId="226DA588" w14:textId="77777777" w:rsidR="00635351" w:rsidRDefault="00635351" w:rsidP="00924726">
            <w:pPr>
              <w:pStyle w:val="ListParagraph"/>
              <w:numPr>
                <w:ilvl w:val="0"/>
                <w:numId w:val="7"/>
              </w:numPr>
            </w:pPr>
            <w:r>
              <w:t xml:space="preserve">Conserved Domains </w:t>
            </w:r>
          </w:p>
          <w:p w14:paraId="63741BC2" w14:textId="5E57BFE3" w:rsidR="00635351" w:rsidRDefault="72F14B96" w:rsidP="00924726">
            <w:pPr>
              <w:pStyle w:val="ListParagraph"/>
              <w:numPr>
                <w:ilvl w:val="0"/>
                <w:numId w:val="7"/>
              </w:numPr>
            </w:pPr>
            <w:r>
              <w:t>SPARCLE</w:t>
            </w:r>
          </w:p>
        </w:tc>
        <w:tc>
          <w:tcPr>
            <w:tcW w:w="3690" w:type="dxa"/>
          </w:tcPr>
          <w:p w14:paraId="7859DB02" w14:textId="77777777" w:rsidR="00635351" w:rsidRPr="005A701C" w:rsidRDefault="00635351" w:rsidP="00924726">
            <w:pPr>
              <w:rPr>
                <w:b/>
              </w:rPr>
            </w:pPr>
            <w:r w:rsidRPr="005A701C">
              <w:rPr>
                <w:b/>
              </w:rPr>
              <w:t>Compare genomic sequences</w:t>
            </w:r>
          </w:p>
          <w:p w14:paraId="2A33CD65" w14:textId="77777777" w:rsidR="00635351" w:rsidRDefault="00635351" w:rsidP="00924726">
            <w:pPr>
              <w:pStyle w:val="ListParagraph"/>
              <w:numPr>
                <w:ilvl w:val="0"/>
                <w:numId w:val="7"/>
              </w:numPr>
            </w:pPr>
            <w:r>
              <w:t>Basic Local Alignment Search Tool (BLAST)</w:t>
            </w:r>
          </w:p>
          <w:p w14:paraId="205B644D" w14:textId="67AB4903" w:rsidR="00635351" w:rsidRDefault="3DEE621B" w:rsidP="00924726">
            <w:pPr>
              <w:pStyle w:val="ListParagraph"/>
              <w:numPr>
                <w:ilvl w:val="0"/>
                <w:numId w:val="7"/>
              </w:numPr>
            </w:pPr>
            <w:r>
              <w:t xml:space="preserve">BLAST </w:t>
            </w:r>
            <w:proofErr w:type="spellStart"/>
            <w:r>
              <w:t>ClusteredNR</w:t>
            </w:r>
            <w:proofErr w:type="spellEnd"/>
            <w:r w:rsidR="3CF6BC9D">
              <w:t xml:space="preserve"> Database</w:t>
            </w:r>
          </w:p>
          <w:p w14:paraId="089E19CE" w14:textId="08FEC32F" w:rsidR="00635351" w:rsidRPr="005A701C" w:rsidRDefault="00635351" w:rsidP="7778D945">
            <w:pPr>
              <w:rPr>
                <w:b/>
                <w:bCs/>
              </w:rPr>
            </w:pPr>
            <w:r w:rsidRPr="7778D945">
              <w:rPr>
                <w:b/>
                <w:bCs/>
              </w:rPr>
              <w:t>Visualize</w:t>
            </w:r>
          </w:p>
          <w:p w14:paraId="0F969392" w14:textId="64BEF7A3" w:rsidR="00C03D60" w:rsidRDefault="01307C87" w:rsidP="00924726">
            <w:pPr>
              <w:pStyle w:val="ListParagraph"/>
              <w:numPr>
                <w:ilvl w:val="0"/>
                <w:numId w:val="7"/>
              </w:numPr>
            </w:pPr>
            <w:r>
              <w:t>Comparative Genome Viewer</w:t>
            </w:r>
          </w:p>
          <w:p w14:paraId="3450B8B2" w14:textId="47B5414A" w:rsidR="00635351" w:rsidRDefault="3DEE621B" w:rsidP="00924726">
            <w:pPr>
              <w:pStyle w:val="ListParagraph"/>
              <w:numPr>
                <w:ilvl w:val="0"/>
                <w:numId w:val="7"/>
              </w:numPr>
            </w:pPr>
            <w:r>
              <w:t>Genome Data Viewer</w:t>
            </w:r>
          </w:p>
          <w:p w14:paraId="492DF152" w14:textId="69924604" w:rsidR="00635351" w:rsidRDefault="3DEE621B" w:rsidP="00924726">
            <w:pPr>
              <w:pStyle w:val="ListParagraph"/>
              <w:numPr>
                <w:ilvl w:val="0"/>
                <w:numId w:val="7"/>
              </w:numPr>
            </w:pPr>
            <w:r>
              <w:t>Multiple Sequence Alignment Viewer</w:t>
            </w:r>
          </w:p>
        </w:tc>
        <w:tc>
          <w:tcPr>
            <w:tcW w:w="3096" w:type="dxa"/>
          </w:tcPr>
          <w:p w14:paraId="028FAF35" w14:textId="77777777" w:rsidR="00635351" w:rsidRPr="005A701C" w:rsidRDefault="00635351" w:rsidP="00924726">
            <w:pPr>
              <w:rPr>
                <w:b/>
              </w:rPr>
            </w:pPr>
            <w:r w:rsidRPr="005A701C">
              <w:rPr>
                <w:b/>
              </w:rPr>
              <w:t xml:space="preserve">Contamination Screening </w:t>
            </w:r>
          </w:p>
          <w:p w14:paraId="5D41449E" w14:textId="77777777" w:rsidR="00635351" w:rsidRDefault="3DEE621B" w:rsidP="00924726">
            <w:pPr>
              <w:pStyle w:val="ListParagraph"/>
              <w:numPr>
                <w:ilvl w:val="0"/>
                <w:numId w:val="7"/>
              </w:numPr>
            </w:pPr>
            <w:r>
              <w:t xml:space="preserve">Foreign Contamination Screening </w:t>
            </w:r>
          </w:p>
          <w:p w14:paraId="2BF23C5E" w14:textId="77777777" w:rsidR="00635351" w:rsidRPr="005A701C" w:rsidRDefault="00635351" w:rsidP="00924726">
            <w:pPr>
              <w:rPr>
                <w:b/>
              </w:rPr>
            </w:pPr>
            <w:r w:rsidRPr="005A701C">
              <w:rPr>
                <w:b/>
              </w:rPr>
              <w:t xml:space="preserve">Quality Control </w:t>
            </w:r>
          </w:p>
          <w:p w14:paraId="1E256E63" w14:textId="2F6860B2" w:rsidR="00635351" w:rsidRDefault="3DEE621B" w:rsidP="00924726">
            <w:pPr>
              <w:pStyle w:val="ListParagraph"/>
              <w:numPr>
                <w:ilvl w:val="0"/>
                <w:numId w:val="7"/>
              </w:numPr>
            </w:pPr>
            <w:r>
              <w:t>Assembly QC Service</w:t>
            </w:r>
          </w:p>
          <w:p w14:paraId="19A899A0" w14:textId="37B8100B" w:rsidR="00635351" w:rsidRDefault="7995CE8A" w:rsidP="4E74FB99">
            <w:pPr>
              <w:rPr>
                <w:b/>
                <w:bCs/>
              </w:rPr>
            </w:pPr>
            <w:r w:rsidRPr="7778D945">
              <w:rPr>
                <w:b/>
                <w:bCs/>
              </w:rPr>
              <w:t>Annotation (Coming Soon!)</w:t>
            </w:r>
          </w:p>
          <w:p w14:paraId="18B74D0F" w14:textId="71FB5CF9" w:rsidR="00635351" w:rsidRDefault="7995CE8A" w:rsidP="7778D945">
            <w:pPr>
              <w:pStyle w:val="ListParagraph"/>
              <w:numPr>
                <w:ilvl w:val="0"/>
                <w:numId w:val="1"/>
              </w:numPr>
            </w:pPr>
            <w:r>
              <w:t>Eukaryotic Annotation Pipeline</w:t>
            </w:r>
          </w:p>
          <w:p w14:paraId="070299E6" w14:textId="2BB1A08B" w:rsidR="00635351" w:rsidRDefault="00635351" w:rsidP="4E74FB99"/>
        </w:tc>
      </w:tr>
    </w:tbl>
    <w:p w14:paraId="0F4F769B" w14:textId="77777777" w:rsidR="00625E96" w:rsidRDefault="00625E96" w:rsidP="00635351">
      <w:pPr>
        <w:pStyle w:val="Heading2"/>
        <w:rPr>
          <w:b w:val="0"/>
        </w:rPr>
      </w:pPr>
    </w:p>
    <w:p w14:paraId="0CFD0349" w14:textId="54A66A79" w:rsidR="00635351" w:rsidRDefault="00635351" w:rsidP="00635351">
      <w:pPr>
        <w:pStyle w:val="Heading2"/>
      </w:pPr>
      <w:r w:rsidRPr="00A96861">
        <w:t>More Information:</w:t>
      </w:r>
    </w:p>
    <w:p w14:paraId="6173CA5B" w14:textId="7685D932" w:rsidR="00635351" w:rsidRDefault="00014CA8" w:rsidP="00635351">
      <w:pPr>
        <w:pStyle w:val="NoSpacing"/>
        <w:rPr>
          <w:rStyle w:val="Hyperlink"/>
          <w:color w:val="auto"/>
          <w:u w:val="none"/>
        </w:rPr>
      </w:pPr>
      <w:hyperlink r:id="rId17" w:history="1">
        <w:r w:rsidR="3DEE621B" w:rsidRPr="7778D945">
          <w:rPr>
            <w:rStyle w:val="Hyperlink"/>
          </w:rPr>
          <w:t xml:space="preserve">NCBI </w:t>
        </w:r>
        <w:proofErr w:type="spellStart"/>
        <w:r w:rsidR="3DEE621B" w:rsidRPr="7778D945">
          <w:rPr>
            <w:rStyle w:val="Hyperlink"/>
          </w:rPr>
          <w:t>Github</w:t>
        </w:r>
        <w:proofErr w:type="spellEnd"/>
      </w:hyperlink>
      <w:r w:rsidR="00CA0D37">
        <w:tab/>
      </w:r>
      <w:r w:rsidR="00CA0D37">
        <w:tab/>
      </w:r>
      <w:hyperlink r:id="rId18">
        <w:r w:rsidR="3DEE621B" w:rsidRPr="7778D945">
          <w:rPr>
            <w:rStyle w:val="Hyperlink"/>
          </w:rPr>
          <w:t>CURATED- data curation for librarians</w:t>
        </w:r>
      </w:hyperlink>
      <w:r w:rsidR="3DEE621B">
        <w:t xml:space="preserve"> </w:t>
      </w:r>
      <w:r w:rsidR="00CA0D37">
        <w:tab/>
      </w:r>
      <w:r w:rsidR="00CA0D37">
        <w:tab/>
      </w:r>
      <w:hyperlink r:id="rId19" w:anchor=":~:text=Comparative%20genomics%20is%20a%20field,regions%20of%20similarity%20and%20difference." w:history="1">
        <w:r w:rsidR="3DEE621B" w:rsidRPr="7778D945">
          <w:rPr>
            <w:rStyle w:val="Hyperlink"/>
          </w:rPr>
          <w:t>Comparative Genomics Fact Sheet</w:t>
        </w:r>
      </w:hyperlink>
      <w:r w:rsidR="3DEE621B" w:rsidRPr="7778D945">
        <w:rPr>
          <w:rStyle w:val="Hyperlink"/>
          <w:color w:val="auto"/>
          <w:u w:val="none"/>
        </w:rPr>
        <w:t xml:space="preserve"> </w:t>
      </w:r>
    </w:p>
    <w:p w14:paraId="3226DFCC" w14:textId="3CDACBC8" w:rsidR="00635351" w:rsidRPr="006601E7" w:rsidRDefault="00014CA8" w:rsidP="4E74FB99">
      <w:pPr>
        <w:pStyle w:val="NoSpacing"/>
        <w:rPr>
          <w:rStyle w:val="Hyperlink"/>
          <w:color w:val="auto"/>
        </w:rPr>
      </w:pPr>
      <w:hyperlink r:id="rId20">
        <w:r w:rsidR="3DEE621B" w:rsidRPr="7778D945">
          <w:rPr>
            <w:rStyle w:val="Hyperlink"/>
          </w:rPr>
          <w:t>NCBI News and Blog</w:t>
        </w:r>
      </w:hyperlink>
      <w:r w:rsidR="00CA0D37">
        <w:tab/>
      </w:r>
      <w:hyperlink r:id="rId21" w:history="1">
        <w:r w:rsidR="00C92916" w:rsidRPr="00C92916">
          <w:rPr>
            <w:rStyle w:val="Hyperlink"/>
          </w:rPr>
          <w:t>CGR FAQs</w:t>
        </w:r>
      </w:hyperlink>
    </w:p>
    <w:p w14:paraId="18646DAD" w14:textId="758A0ABC" w:rsidR="00993F31" w:rsidRDefault="00014CA8" w:rsidP="31DF9F4E">
      <w:pPr>
        <w:pStyle w:val="NoSpacing"/>
        <w:rPr>
          <w:rStyle w:val="Hyperlink"/>
          <w:color w:val="auto"/>
        </w:rPr>
      </w:pPr>
    </w:p>
    <w:sectPr w:rsidR="00993F31" w:rsidSect="00F603BD">
      <w:footerReference w:type="default" r:id="rId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0A544A" w16cex:dateUtc="2023-09-28T04:53:00Z"/>
  <w16cex:commentExtensible w16cex:durableId="129C4192" w16cex:dateUtc="2023-09-28T05:42:00Z"/>
  <w16cex:commentExtensible w16cex:durableId="127CF943" w16cex:dateUtc="2023-09-28T13:57:00Z"/>
  <w16cex:commentExtensible w16cex:durableId="289B0845" w16cex:dateUtc="2023-08-31T16:38:00Z"/>
  <w16cex:commentExtensible w16cex:durableId="19C3E291" w16cex:dateUtc="2023-09-28T05:16:00Z"/>
  <w16cex:commentExtensible w16cex:durableId="289B08CE" w16cex:dateUtc="2023-08-31T16:40:00Z"/>
  <w16cex:commentExtensible w16cex:durableId="7E497E2A" w16cex:dateUtc="2023-09-28T05:12:00Z"/>
  <w16cex:commentExtensible w16cex:durableId="1468410B" w16cex:dateUtc="2023-09-28T13:57:00Z"/>
  <w16cex:commentExtensible w16cex:durableId="289B09FF" w16cex:dateUtc="2023-08-31T16:45:00Z"/>
  <w16cex:commentExtensible w16cex:durableId="69197D6E" w16cex:dateUtc="2023-09-28T05:31:00Z"/>
  <w16cex:commentExtensible w16cex:durableId="289B0A5E" w16cex:dateUtc="2023-08-31T16:47:00Z"/>
  <w16cex:commentExtensible w16cex:durableId="289B0C26" w16cex:dateUtc="2023-08-31T16:55:00Z"/>
  <w16cex:commentExtensible w16cex:durableId="289B0AB4" w16cex:dateUtc="2023-08-31T16:48:00Z"/>
  <w16cex:commentExtensible w16cex:durableId="3E19ECD3" w16cex:dateUtc="2023-09-28T05:34:00Z"/>
  <w16cex:commentExtensible w16cex:durableId="76946939" w16cex:dateUtc="2023-10-04T05:28:02.905Z"/>
  <w16cex:commentExtensible w16cex:durableId="289B0AE0" w16cex:dateUtc="2023-08-31T16:49:00Z"/>
  <w16cex:commentExtensible w16cex:durableId="285E32BC" w16cex:dateUtc="2023-09-28T05:32:00Z"/>
  <w16cex:commentExtensible w16cex:durableId="3CF7010B" w16cex:dateUtc="2023-09-28T05:50:00Z"/>
  <w16cex:commentExtensible w16cex:durableId="28C6AA21" w16cex:dateUtc="2023-10-03T18:56:00Z"/>
  <w16cex:commentExtensible w16cex:durableId="28C662B7" w16cex:dateUtc="2023-10-03T13:51:00Z"/>
  <w16cex:commentExtensible w16cex:durableId="289B0B2F" w16cex:dateUtc="2023-08-31T16:50:00Z"/>
  <w16cex:commentExtensible w16cex:durableId="75D5413E" w16cex:dateUtc="2023-09-28T05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A0A89" w14:textId="77777777" w:rsidR="00014CA8" w:rsidRDefault="00014CA8">
      <w:pPr>
        <w:spacing w:after="0" w:line="240" w:lineRule="auto"/>
      </w:pPr>
      <w:r>
        <w:separator/>
      </w:r>
    </w:p>
  </w:endnote>
  <w:endnote w:type="continuationSeparator" w:id="0">
    <w:p w14:paraId="4F13E1D3" w14:textId="77777777" w:rsidR="00014CA8" w:rsidRDefault="00014CA8">
      <w:pPr>
        <w:spacing w:after="0" w:line="240" w:lineRule="auto"/>
      </w:pPr>
      <w:r>
        <w:continuationSeparator/>
      </w:r>
    </w:p>
  </w:endnote>
  <w:endnote w:type="continuationNotice" w:id="1">
    <w:p w14:paraId="3A2B6DC7" w14:textId="77777777" w:rsidR="00014CA8" w:rsidRDefault="00014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FE2C" w14:textId="5711D933" w:rsidR="005A701C" w:rsidRDefault="00635351" w:rsidP="005A701C">
    <w:pPr>
      <w:pStyle w:val="Footer"/>
      <w:jc w:val="center"/>
      <w:rPr>
        <w:sz w:val="18"/>
      </w:rPr>
    </w:pPr>
    <w:bookmarkStart w:id="2" w:name="_Hlk107491073"/>
    <w:bookmarkStart w:id="3" w:name="_Hlk111200911"/>
    <w:r>
      <w:rPr>
        <w:sz w:val="18"/>
      </w:rPr>
      <w:t>Updated:</w:t>
    </w:r>
    <w:r w:rsidR="00625E96">
      <w:rPr>
        <w:sz w:val="18"/>
      </w:rPr>
      <w:t>10/4</w:t>
    </w:r>
    <w:r>
      <w:rPr>
        <w:sz w:val="18"/>
      </w:rPr>
      <w:t xml:space="preserve">/2023; Contact </w:t>
    </w:r>
    <w:hyperlink r:id="rId1" w:history="1">
      <w:r>
        <w:rPr>
          <w:rStyle w:val="Hyperlink"/>
          <w:sz w:val="18"/>
        </w:rPr>
        <w:t>katie.pierce-farrier@unthsc.edu</w:t>
      </w:r>
    </w:hyperlink>
    <w:r>
      <w:rPr>
        <w:sz w:val="18"/>
      </w:rPr>
      <w:t xml:space="preserve"> for more information about product guide.</w:t>
    </w:r>
  </w:p>
  <w:p w14:paraId="0AF1E442" w14:textId="77777777" w:rsidR="005A701C" w:rsidRPr="005A701C" w:rsidRDefault="00635351" w:rsidP="005A701C">
    <w:pPr>
      <w:pStyle w:val="Footer"/>
      <w:jc w:val="center"/>
      <w:rPr>
        <w:sz w:val="18"/>
      </w:rPr>
    </w:pPr>
    <w:r>
      <w:rPr>
        <w:sz w:val="18"/>
      </w:rPr>
      <w:t xml:space="preserve">Content contributed and edited by </w:t>
    </w:r>
    <w:r>
      <w:rPr>
        <w:rFonts w:ascii="Calibri" w:hAnsi="Calibri" w:cs="Calibri"/>
        <w:sz w:val="18"/>
        <w:shd w:val="clear" w:color="auto" w:fill="FFFFFF"/>
      </w:rPr>
      <w:t>National Library of Medicine and</w:t>
    </w:r>
    <w:r>
      <w:rPr>
        <w:sz w:val="18"/>
      </w:rPr>
      <w:t xml:space="preserve"> University of North Texas Health Science Center Lewis Library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A60AD" w14:textId="77777777" w:rsidR="00014CA8" w:rsidRDefault="00014CA8">
      <w:pPr>
        <w:spacing w:after="0" w:line="240" w:lineRule="auto"/>
      </w:pPr>
      <w:r>
        <w:separator/>
      </w:r>
    </w:p>
  </w:footnote>
  <w:footnote w:type="continuationSeparator" w:id="0">
    <w:p w14:paraId="729F71FD" w14:textId="77777777" w:rsidR="00014CA8" w:rsidRDefault="00014CA8">
      <w:pPr>
        <w:spacing w:after="0" w:line="240" w:lineRule="auto"/>
      </w:pPr>
      <w:r>
        <w:continuationSeparator/>
      </w:r>
    </w:p>
  </w:footnote>
  <w:footnote w:type="continuationNotice" w:id="1">
    <w:p w14:paraId="0C8D6BE1" w14:textId="77777777" w:rsidR="00014CA8" w:rsidRDefault="00014C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9404"/>
    <w:multiLevelType w:val="hybridMultilevel"/>
    <w:tmpl w:val="4F5C05AC"/>
    <w:lvl w:ilvl="0" w:tplc="F9C6C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A4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05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F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C6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E8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2D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E0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C3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33E"/>
    <w:multiLevelType w:val="hybridMultilevel"/>
    <w:tmpl w:val="2696B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A00"/>
    <w:multiLevelType w:val="hybridMultilevel"/>
    <w:tmpl w:val="0FB4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D15F0"/>
    <w:multiLevelType w:val="hybridMultilevel"/>
    <w:tmpl w:val="B6487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77029"/>
    <w:multiLevelType w:val="hybridMultilevel"/>
    <w:tmpl w:val="187E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F37451"/>
    <w:multiLevelType w:val="hybridMultilevel"/>
    <w:tmpl w:val="FCBE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B4182"/>
    <w:multiLevelType w:val="hybridMultilevel"/>
    <w:tmpl w:val="0DF4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606A3"/>
    <w:multiLevelType w:val="hybridMultilevel"/>
    <w:tmpl w:val="94C61E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51"/>
    <w:rsid w:val="00014CA8"/>
    <w:rsid w:val="00071EF3"/>
    <w:rsid w:val="000C74F8"/>
    <w:rsid w:val="00126766"/>
    <w:rsid w:val="001347AC"/>
    <w:rsid w:val="001E0A20"/>
    <w:rsid w:val="003036A9"/>
    <w:rsid w:val="00322550"/>
    <w:rsid w:val="00324ADC"/>
    <w:rsid w:val="003D00D4"/>
    <w:rsid w:val="00457B96"/>
    <w:rsid w:val="004725E2"/>
    <w:rsid w:val="00601D72"/>
    <w:rsid w:val="00625E96"/>
    <w:rsid w:val="00635351"/>
    <w:rsid w:val="00744EEB"/>
    <w:rsid w:val="00744F9C"/>
    <w:rsid w:val="007D58EE"/>
    <w:rsid w:val="008502F3"/>
    <w:rsid w:val="00867B69"/>
    <w:rsid w:val="00876994"/>
    <w:rsid w:val="008B5022"/>
    <w:rsid w:val="009A2114"/>
    <w:rsid w:val="009B03F8"/>
    <w:rsid w:val="009F7720"/>
    <w:rsid w:val="00AB18AC"/>
    <w:rsid w:val="00B16C2A"/>
    <w:rsid w:val="00B37B77"/>
    <w:rsid w:val="00B42B40"/>
    <w:rsid w:val="00B52AA4"/>
    <w:rsid w:val="00C03D60"/>
    <w:rsid w:val="00C2003B"/>
    <w:rsid w:val="00C73A33"/>
    <w:rsid w:val="00C92916"/>
    <w:rsid w:val="00CA0D37"/>
    <w:rsid w:val="00CB1358"/>
    <w:rsid w:val="00D46EF4"/>
    <w:rsid w:val="00D55D27"/>
    <w:rsid w:val="00DF6E20"/>
    <w:rsid w:val="00E321AE"/>
    <w:rsid w:val="00E95B49"/>
    <w:rsid w:val="00F16E89"/>
    <w:rsid w:val="00F55DD7"/>
    <w:rsid w:val="01307C87"/>
    <w:rsid w:val="0178FFE3"/>
    <w:rsid w:val="02574B54"/>
    <w:rsid w:val="02650691"/>
    <w:rsid w:val="0368A65B"/>
    <w:rsid w:val="042DD704"/>
    <w:rsid w:val="045F49D4"/>
    <w:rsid w:val="055B5870"/>
    <w:rsid w:val="0636AF73"/>
    <w:rsid w:val="06FE5EE9"/>
    <w:rsid w:val="0736AB54"/>
    <w:rsid w:val="0744B04D"/>
    <w:rsid w:val="0919929A"/>
    <w:rsid w:val="0ACE8B58"/>
    <w:rsid w:val="0B1EDF6D"/>
    <w:rsid w:val="0C2E8D97"/>
    <w:rsid w:val="0C59DACF"/>
    <w:rsid w:val="0EA12F50"/>
    <w:rsid w:val="102DBD18"/>
    <w:rsid w:val="1242F767"/>
    <w:rsid w:val="13505ED5"/>
    <w:rsid w:val="14201B51"/>
    <w:rsid w:val="142BBD8E"/>
    <w:rsid w:val="144829EF"/>
    <w:rsid w:val="14B38078"/>
    <w:rsid w:val="14EC9965"/>
    <w:rsid w:val="1512DE2C"/>
    <w:rsid w:val="166C3A2E"/>
    <w:rsid w:val="16A08687"/>
    <w:rsid w:val="16E35AA4"/>
    <w:rsid w:val="1902ADFF"/>
    <w:rsid w:val="1B298B2A"/>
    <w:rsid w:val="1B4804C9"/>
    <w:rsid w:val="1BD9E02D"/>
    <w:rsid w:val="1C829EBA"/>
    <w:rsid w:val="1D50081F"/>
    <w:rsid w:val="1DAF9D5E"/>
    <w:rsid w:val="1E485D9E"/>
    <w:rsid w:val="1E9EE199"/>
    <w:rsid w:val="1FEC558E"/>
    <w:rsid w:val="2059A8EF"/>
    <w:rsid w:val="21868A25"/>
    <w:rsid w:val="21C1FE40"/>
    <w:rsid w:val="22C9BAD2"/>
    <w:rsid w:val="238E8D7B"/>
    <w:rsid w:val="2546E9D5"/>
    <w:rsid w:val="25FCFE95"/>
    <w:rsid w:val="268D52B9"/>
    <w:rsid w:val="26925FE2"/>
    <w:rsid w:val="275BE876"/>
    <w:rsid w:val="28656F92"/>
    <w:rsid w:val="291E2A09"/>
    <w:rsid w:val="2A57384E"/>
    <w:rsid w:val="2A77AFFB"/>
    <w:rsid w:val="2B479B7F"/>
    <w:rsid w:val="2CA55901"/>
    <w:rsid w:val="2CFC943D"/>
    <w:rsid w:val="2E0A7F83"/>
    <w:rsid w:val="2E5A5AB8"/>
    <w:rsid w:val="2E98649E"/>
    <w:rsid w:val="2E9D76E2"/>
    <w:rsid w:val="301A4D62"/>
    <w:rsid w:val="31786741"/>
    <w:rsid w:val="31D00560"/>
    <w:rsid w:val="31DF9F4E"/>
    <w:rsid w:val="32D30A80"/>
    <w:rsid w:val="3546E3DE"/>
    <w:rsid w:val="356B14F1"/>
    <w:rsid w:val="35AF1C18"/>
    <w:rsid w:val="374D7C37"/>
    <w:rsid w:val="378FAB5F"/>
    <w:rsid w:val="37E7A8C5"/>
    <w:rsid w:val="380D5134"/>
    <w:rsid w:val="38A2B5B3"/>
    <w:rsid w:val="3A675666"/>
    <w:rsid w:val="3AB56F1C"/>
    <w:rsid w:val="3AB5B1DB"/>
    <w:rsid w:val="3ACADD78"/>
    <w:rsid w:val="3BDA5675"/>
    <w:rsid w:val="3C743553"/>
    <w:rsid w:val="3CF6BC9D"/>
    <w:rsid w:val="3D5CFE79"/>
    <w:rsid w:val="3DEE621B"/>
    <w:rsid w:val="3F11F737"/>
    <w:rsid w:val="3FEB2806"/>
    <w:rsid w:val="404A623E"/>
    <w:rsid w:val="4124F35F"/>
    <w:rsid w:val="4227E802"/>
    <w:rsid w:val="423E6D28"/>
    <w:rsid w:val="429CE1B9"/>
    <w:rsid w:val="42A136E7"/>
    <w:rsid w:val="42C0C3C0"/>
    <w:rsid w:val="44361A67"/>
    <w:rsid w:val="452A4998"/>
    <w:rsid w:val="456491DB"/>
    <w:rsid w:val="46670F2E"/>
    <w:rsid w:val="47528B09"/>
    <w:rsid w:val="479C2269"/>
    <w:rsid w:val="4805BA15"/>
    <w:rsid w:val="48EA98C5"/>
    <w:rsid w:val="4937F2CA"/>
    <w:rsid w:val="49DA88C7"/>
    <w:rsid w:val="4A866926"/>
    <w:rsid w:val="4AF0F713"/>
    <w:rsid w:val="4CA58681"/>
    <w:rsid w:val="4D52E668"/>
    <w:rsid w:val="4E74FB99"/>
    <w:rsid w:val="4FC9A3AB"/>
    <w:rsid w:val="4FD5A52D"/>
    <w:rsid w:val="501BDDF4"/>
    <w:rsid w:val="514304AF"/>
    <w:rsid w:val="5165740C"/>
    <w:rsid w:val="528BCA78"/>
    <w:rsid w:val="52AFBF4D"/>
    <w:rsid w:val="53F690EF"/>
    <w:rsid w:val="54831342"/>
    <w:rsid w:val="549BBBFD"/>
    <w:rsid w:val="54B380F5"/>
    <w:rsid w:val="54E0E31E"/>
    <w:rsid w:val="56019277"/>
    <w:rsid w:val="56E922E2"/>
    <w:rsid w:val="58C1B539"/>
    <w:rsid w:val="58EEFAD7"/>
    <w:rsid w:val="594E1694"/>
    <w:rsid w:val="59A997DD"/>
    <w:rsid w:val="5A5407DD"/>
    <w:rsid w:val="5BDC3AD5"/>
    <w:rsid w:val="5C48ACF2"/>
    <w:rsid w:val="5CA50EAF"/>
    <w:rsid w:val="5CAB98D0"/>
    <w:rsid w:val="5E5B5909"/>
    <w:rsid w:val="5E8B4A84"/>
    <w:rsid w:val="5E947847"/>
    <w:rsid w:val="5ED697C1"/>
    <w:rsid w:val="6076DDC6"/>
    <w:rsid w:val="6098520F"/>
    <w:rsid w:val="629D4669"/>
    <w:rsid w:val="62D63F08"/>
    <w:rsid w:val="64B9D546"/>
    <w:rsid w:val="651E09CC"/>
    <w:rsid w:val="652EF50B"/>
    <w:rsid w:val="662C999C"/>
    <w:rsid w:val="667C9DF3"/>
    <w:rsid w:val="66B9DA2D"/>
    <w:rsid w:val="67C869FD"/>
    <w:rsid w:val="67F2C6E0"/>
    <w:rsid w:val="680C31FC"/>
    <w:rsid w:val="683B5A8D"/>
    <w:rsid w:val="6A0497AF"/>
    <w:rsid w:val="6A0D79C5"/>
    <w:rsid w:val="6A25AC97"/>
    <w:rsid w:val="6A91CEA3"/>
    <w:rsid w:val="6A943C71"/>
    <w:rsid w:val="6AB4ECB2"/>
    <w:rsid w:val="6BD34764"/>
    <w:rsid w:val="6C5DD7CD"/>
    <w:rsid w:val="6D98E513"/>
    <w:rsid w:val="6DD4606C"/>
    <w:rsid w:val="6EF91DBA"/>
    <w:rsid w:val="6F041399"/>
    <w:rsid w:val="6F1AEFB5"/>
    <w:rsid w:val="6F34B574"/>
    <w:rsid w:val="702F0242"/>
    <w:rsid w:val="70D085D5"/>
    <w:rsid w:val="72F14B96"/>
    <w:rsid w:val="733DA9CC"/>
    <w:rsid w:val="73556316"/>
    <w:rsid w:val="748B52F3"/>
    <w:rsid w:val="75C06204"/>
    <w:rsid w:val="7615A252"/>
    <w:rsid w:val="766D5D08"/>
    <w:rsid w:val="76E04D98"/>
    <w:rsid w:val="7778D945"/>
    <w:rsid w:val="780E5E33"/>
    <w:rsid w:val="7995CE8A"/>
    <w:rsid w:val="7B43CE1B"/>
    <w:rsid w:val="7B47281A"/>
    <w:rsid w:val="7BD1838C"/>
    <w:rsid w:val="7CE2F87B"/>
    <w:rsid w:val="7E36E35F"/>
    <w:rsid w:val="7EDE6601"/>
    <w:rsid w:val="7F9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E884"/>
  <w15:chartTrackingRefBased/>
  <w15:docId w15:val="{13FAB02D-47CA-421F-8740-39835B57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3F8"/>
  </w:style>
  <w:style w:type="paragraph" w:styleId="Heading1">
    <w:name w:val="heading 1"/>
    <w:basedOn w:val="Normal"/>
    <w:next w:val="Normal"/>
    <w:link w:val="Heading1Char"/>
    <w:uiPriority w:val="9"/>
    <w:qFormat/>
    <w:rsid w:val="00635351"/>
    <w:pPr>
      <w:keepNext/>
      <w:keepLines/>
      <w:spacing w:after="0"/>
      <w:outlineLvl w:val="0"/>
    </w:pPr>
    <w:rPr>
      <w:rFonts w:eastAsiaTheme="majorEastAsia" w:cstheme="majorBidi"/>
      <w:b/>
      <w:color w:val="4472C4" w:themeColor="accen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35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351"/>
    <w:rPr>
      <w:rFonts w:eastAsiaTheme="majorEastAsia" w:cstheme="majorBidi"/>
      <w:b/>
      <w:color w:val="4472C4" w:themeColor="accen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5351"/>
    <w:rPr>
      <w:rFonts w:eastAsiaTheme="majorEastAsia" w:cstheme="majorBidi"/>
      <w:b/>
      <w:szCs w:val="26"/>
    </w:rPr>
  </w:style>
  <w:style w:type="character" w:styleId="Hyperlink">
    <w:name w:val="Hyperlink"/>
    <w:basedOn w:val="DefaultParagraphFont"/>
    <w:uiPriority w:val="99"/>
    <w:unhideWhenUsed/>
    <w:rsid w:val="006353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351"/>
    <w:pPr>
      <w:ind w:left="720"/>
      <w:contextualSpacing/>
    </w:pPr>
  </w:style>
  <w:style w:type="table" w:styleId="TableGrid">
    <w:name w:val="Table Grid"/>
    <w:basedOn w:val="TableNormal"/>
    <w:uiPriority w:val="39"/>
    <w:rsid w:val="0063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535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3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51"/>
  </w:style>
  <w:style w:type="character" w:customStyle="1" w:styleId="ui-provider">
    <w:name w:val="ui-provider"/>
    <w:basedOn w:val="DefaultParagraphFont"/>
    <w:rsid w:val="00635351"/>
  </w:style>
  <w:style w:type="character" w:styleId="UnresolvedMention">
    <w:name w:val="Unresolved Mention"/>
    <w:basedOn w:val="DefaultParagraphFont"/>
    <w:uiPriority w:val="99"/>
    <w:semiHidden/>
    <w:unhideWhenUsed/>
    <w:rsid w:val="006353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5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D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58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16"/>
  </w:style>
  <w:style w:type="paragraph" w:styleId="BalloonText">
    <w:name w:val="Balloon Text"/>
    <w:basedOn w:val="Normal"/>
    <w:link w:val="BalloonTextChar"/>
    <w:uiPriority w:val="99"/>
    <w:semiHidden/>
    <w:unhideWhenUsed/>
    <w:rsid w:val="00D5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lic.govdelivery.com/accounts/USNLMOCPL/subscriber/new?topic_id=USNLMOCPL_50" TargetMode="External"/><Relationship Id="rId18" Type="http://schemas.openxmlformats.org/officeDocument/2006/relationships/hyperlink" Target="https://datacurationnetwork.org/outputs/workflow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cbi.nlm.nih.gov/comparative-genomics-resource/faq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gr@nlm.nih.gov" TargetMode="External"/><Relationship Id="rId17" Type="http://schemas.openxmlformats.org/officeDocument/2006/relationships/hyperlink" Target="https://github.com/ncbi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comparative-genomics-resource/data-quality-tools/" TargetMode="External"/><Relationship Id="rId20" Type="http://schemas.openxmlformats.org/officeDocument/2006/relationships/hyperlink" Target="https://ncbiinsights.ncbi.nlm.nih.gov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bi.nlm.nih.gov/comparative-genomics-resource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ncbi.nlm.nih.gov/comparative-genomics-resource/analysis-tool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genome.gov/about-genomics/fact-sheets/Comparative-Genomics-Fact-She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bi.nlm.nih.gov/comparative-genomics-resource/data-resource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ie.pierce-farrier@un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5553D40EA42419E0F14B6EE782833" ma:contentTypeVersion="14" ma:contentTypeDescription="Create a new document." ma:contentTypeScope="" ma:versionID="3484898f7fe9783f8e6e848293ee7cfd">
  <xsd:schema xmlns:xsd="http://www.w3.org/2001/XMLSchema" xmlns:xs="http://www.w3.org/2001/XMLSchema" xmlns:p="http://schemas.microsoft.com/office/2006/metadata/properties" xmlns:ns2="58563e96-ce27-4dfe-a1b6-1e7bca2a6c63" xmlns:ns3="49bcb7c0-786c-48cf-898e-d484339343d7" targetNamespace="http://schemas.microsoft.com/office/2006/metadata/properties" ma:root="true" ma:fieldsID="81e2918326ad6dc6c503050d69c0fd9b" ns2:_="" ns3:_="">
    <xsd:import namespace="58563e96-ce27-4dfe-a1b6-1e7bca2a6c63"/>
    <xsd:import namespace="49bcb7c0-786c-48cf-898e-d48433934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3e96-ce27-4dfe-a1b6-1e7bca2a6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viewed" ma:index="21" nillable="true" ma:displayName="reviewed" ma:default="1" ma:format="Dropdown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cb7c0-786c-48cf-898e-d48433934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4b4465f-5cbc-4a24-a0ab-e063884aba68}" ma:internalName="TaxCatchAll" ma:showField="CatchAllData" ma:web="49bcb7c0-786c-48cf-898e-d484339343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bcb7c0-786c-48cf-898e-d484339343d7" xsi:nil="true"/>
    <lcf76f155ced4ddcb4097134ff3c332f xmlns="58563e96-ce27-4dfe-a1b6-1e7bca2a6c63">
      <Terms xmlns="http://schemas.microsoft.com/office/infopath/2007/PartnerControls"/>
    </lcf76f155ced4ddcb4097134ff3c332f>
    <reviewed xmlns="58563e96-ce27-4dfe-a1b6-1e7bca2a6c63">true</reviewed>
    <SharedWithUsers xmlns="49bcb7c0-786c-48cf-898e-d484339343d7">
      <UserInfo>
        <DisplayName>NCBI-All</DisplayName>
        <AccountId>288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C2360-AB2F-42CD-A9C8-6D507481B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63e96-ce27-4dfe-a1b6-1e7bca2a6c63"/>
    <ds:schemaRef ds:uri="49bcb7c0-786c-48cf-898e-d48433934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00B99-FE5B-41B5-BFF6-64A9D91F70C2}">
  <ds:schemaRefs>
    <ds:schemaRef ds:uri="http://schemas.microsoft.com/office/2006/metadata/properties"/>
    <ds:schemaRef ds:uri="http://schemas.microsoft.com/office/infopath/2007/PartnerControls"/>
    <ds:schemaRef ds:uri="49bcb7c0-786c-48cf-898e-d484339343d7"/>
    <ds:schemaRef ds:uri="58563e96-ce27-4dfe-a1b6-1e7bca2a6c63"/>
  </ds:schemaRefs>
</ds:datastoreItem>
</file>

<file path=customXml/itemProps3.xml><?xml version="1.0" encoding="utf-8"?>
<ds:datastoreItem xmlns:ds="http://schemas.openxmlformats.org/officeDocument/2006/customXml" ds:itemID="{D1D050BB-F4C2-4321-8DA8-F81CBEAB9A7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Pierce-Farrier, Katie</dc:creator>
  <cp:keywords/>
  <dc:description/>
  <cp:lastModifiedBy>Pierce-Farrier, Katie</cp:lastModifiedBy>
  <cp:revision>5</cp:revision>
  <dcterms:created xsi:type="dcterms:W3CDTF">2023-10-04T15:16:00Z</dcterms:created>
  <dcterms:modified xsi:type="dcterms:W3CDTF">2023-10-04T15:33:00Z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0x0101009235553D40EA42419E0F14B6EE782833</vt:lpwstr>
  </property>
  <property fmtid="{D5CDD505-2E9C-101B-9397-08002B2CF9AE}" pid="3" name="MediaServiceImageTags">
    <vt:lpwstr/>
  </property>
</Properties>
</file>